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heme="minorHAnsi" w:hAnsiTheme="minorHAnsi" w:cstheme="minorHAnsi"/>
          <w:b/>
          <w:bCs/>
          <w:sz w:val="32"/>
          <w:szCs w:val="32"/>
          <w:u w:val="single"/>
        </w:rPr>
      </w:pPr>
      <w:r>
        <w:rPr>
          <w:rFonts w:asciiTheme="minorHAnsi" w:hAnsiTheme="minorHAnsi" w:cstheme="minorHAnsi"/>
          <w:b/>
          <w:bCs/>
          <w:sz w:val="32"/>
          <w:szCs w:val="32"/>
          <w:u w:val="single"/>
        </w:rPr>
        <w:t>Ochrana životního prostředí je pro naši společnost prioritou</w:t>
      </w:r>
    </w:p>
    <w:p>
      <w:pPr>
        <w:spacing w:line="276" w:lineRule="auto"/>
        <w:jc w:val="both"/>
        <w:rPr>
          <w:rFonts w:asciiTheme="minorHAnsi" w:hAnsiTheme="minorHAnsi" w:cstheme="minorHAnsi"/>
          <w:b/>
          <w:bCs/>
          <w:sz w:val="22"/>
          <w:szCs w:val="22"/>
        </w:rPr>
      </w:pPr>
    </w:p>
    <w:p>
      <w:pPr>
        <w:spacing w:line="276" w:lineRule="auto"/>
        <w:jc w:val="both"/>
        <w:rPr>
          <w:rFonts w:asciiTheme="minorHAnsi" w:hAnsiTheme="minorHAnsi" w:cstheme="minorHAnsi"/>
          <w:b/>
          <w:bCs/>
          <w:color w:val="FF0000"/>
          <w:sz w:val="24"/>
          <w:szCs w:val="24"/>
        </w:rPr>
      </w:pPr>
      <w:r>
        <w:rPr>
          <w:rFonts w:asciiTheme="minorHAnsi" w:hAnsiTheme="minorHAnsi" w:cstheme="minorHAnsi"/>
          <w:b/>
          <w:bCs/>
          <w:color w:val="FF0000"/>
          <w:sz w:val="24"/>
          <w:szCs w:val="24"/>
        </w:rPr>
        <w:t xml:space="preserve">Elektrospotřebiče jsou součástí našeho každodenního života a jen těžko si jej bez nich dokážeme </w:t>
      </w:r>
      <w:r>
        <w:rPr>
          <w:rFonts w:asciiTheme="minorHAnsi" w:hAnsiTheme="minorHAnsi" w:cstheme="minorHAnsi"/>
          <w:b/>
          <w:bCs/>
          <w:color w:val="FF0000"/>
          <w:sz w:val="24"/>
          <w:szCs w:val="24"/>
          <w:highlight w:val="none"/>
        </w:rPr>
        <w:t>představit. Elektroodpad je tak v současné době jedním z nejrychleji rostoucích druhů odpadu. Pro zajištění sběru a recyklace již vysloužilých elektrozařízení si naše</w:t>
      </w:r>
      <w:r>
        <w:rPr>
          <w:rFonts w:hint="default" w:asciiTheme="minorHAnsi" w:hAnsiTheme="minorHAnsi" w:cstheme="minorHAnsi"/>
          <w:b/>
          <w:bCs/>
          <w:color w:val="FF0000"/>
          <w:sz w:val="24"/>
          <w:szCs w:val="24"/>
          <w:highlight w:val="none"/>
          <w:lang w:val="cs-CZ"/>
        </w:rPr>
        <w:t xml:space="preserve"> obec Březnice</w:t>
      </w:r>
      <w:bookmarkStart w:id="0" w:name="_Hlk96506340"/>
      <w:r>
        <w:rPr>
          <w:rFonts w:asciiTheme="minorHAnsi" w:hAnsiTheme="minorHAnsi" w:cstheme="minorHAnsi"/>
          <w:b/>
          <w:bCs/>
          <w:color w:val="FF0000"/>
          <w:sz w:val="24"/>
          <w:szCs w:val="24"/>
          <w:highlight w:val="none"/>
        </w:rPr>
        <w:t xml:space="preserve"> </w:t>
      </w:r>
      <w:bookmarkEnd w:id="0"/>
      <w:r>
        <w:rPr>
          <w:rFonts w:asciiTheme="minorHAnsi" w:hAnsiTheme="minorHAnsi" w:cstheme="minorHAnsi"/>
          <w:b/>
          <w:bCs/>
          <w:color w:val="FF0000"/>
          <w:sz w:val="24"/>
          <w:szCs w:val="24"/>
          <w:highlight w:val="none"/>
        </w:rPr>
        <w:t xml:space="preserve">vybrala ke spolupráci kolektivní systém ASEKOL. Elektroodpad obsahuje řadu zdraví škodlivých materiálů a díky zajištění správné recyklace vysloužilých elektrozařízení přispíváme k ochraně životního prostředí. Recyklace navíc umožňuje opětovné materiálové využití a patří mezi základní principy </w:t>
      </w:r>
      <w:r>
        <w:rPr>
          <w:rFonts w:asciiTheme="minorHAnsi" w:hAnsiTheme="minorHAnsi" w:cstheme="minorHAnsi"/>
          <w:b/>
          <w:bCs/>
          <w:color w:val="FF0000"/>
          <w:sz w:val="24"/>
          <w:szCs w:val="24"/>
        </w:rPr>
        <w:t>cirkulární ekonomky. Míra opětovného materiálového využití je velmi vysoká a dle jednotlivých typů výrobků dosahuje až 95 %.</w:t>
      </w:r>
    </w:p>
    <w:p>
      <w:pPr>
        <w:spacing w:line="276" w:lineRule="auto"/>
        <w:jc w:val="both"/>
        <w:rPr>
          <w:rFonts w:asciiTheme="minorHAnsi" w:hAnsiTheme="minorHAnsi" w:cstheme="minorHAnsi"/>
          <w:b/>
          <w:bCs/>
          <w:sz w:val="22"/>
          <w:szCs w:val="22"/>
        </w:rPr>
      </w:pPr>
    </w:p>
    <w:p>
      <w:pPr>
        <w:spacing w:line="276" w:lineRule="auto"/>
        <w:jc w:val="both"/>
        <w:rPr>
          <w:rFonts w:asciiTheme="minorHAnsi" w:hAnsiTheme="minorHAnsi" w:cstheme="minorHAnsi"/>
          <w:b/>
          <w:bCs/>
          <w:sz w:val="24"/>
          <w:szCs w:val="24"/>
          <w:highlight w:val="none"/>
        </w:rPr>
      </w:pPr>
      <w:r>
        <w:rPr>
          <w:rFonts w:asciiTheme="minorHAnsi" w:hAnsiTheme="minorHAnsi" w:cstheme="minorHAnsi"/>
          <w:b/>
          <w:bCs/>
          <w:sz w:val="24"/>
          <w:szCs w:val="24"/>
          <w:highlight w:val="none"/>
        </w:rPr>
        <w:t>Jakým rozsahem obec</w:t>
      </w:r>
      <w:r>
        <w:rPr>
          <w:rFonts w:hint="default" w:asciiTheme="minorHAnsi" w:hAnsiTheme="minorHAnsi" w:cstheme="minorHAnsi"/>
          <w:b/>
          <w:bCs/>
          <w:sz w:val="24"/>
          <w:szCs w:val="24"/>
          <w:highlight w:val="none"/>
          <w:lang w:val="cs-CZ"/>
        </w:rPr>
        <w:t xml:space="preserve"> Březnice </w:t>
      </w:r>
      <w:r>
        <w:rPr>
          <w:rFonts w:asciiTheme="minorHAnsi" w:hAnsiTheme="minorHAnsi" w:cstheme="minorHAnsi"/>
          <w:b/>
          <w:bCs/>
          <w:sz w:val="24"/>
          <w:szCs w:val="24"/>
          <w:highlight w:val="none"/>
        </w:rPr>
        <w:t>přispěla k lepšímu životnímu prostředí, se dozvídáme z environmentálního vyúčtování zpracovaného společností ASEKOL. Díky zodpovědné recyklaci vznikají úspory spotřeby elektrické energie, primárních surovin, vody, okyselování prostředí a produkci skleníkových plynů.</w:t>
      </w:r>
    </w:p>
    <w:p>
      <w:pPr>
        <w:spacing w:line="276" w:lineRule="auto"/>
        <w:jc w:val="both"/>
        <w:rPr>
          <w:rFonts w:asciiTheme="minorHAnsi" w:hAnsiTheme="minorHAnsi" w:cstheme="minorHAnsi"/>
          <w:sz w:val="22"/>
          <w:szCs w:val="22"/>
          <w:highlight w:val="none"/>
        </w:rPr>
      </w:pPr>
    </w:p>
    <w:p>
      <w:pPr>
        <w:spacing w:line="276" w:lineRule="auto"/>
        <w:jc w:val="both"/>
        <w:rPr>
          <w:rFonts w:asciiTheme="minorHAnsi" w:hAnsiTheme="minorHAnsi" w:cstheme="minorHAnsi"/>
          <w:b/>
          <w:bCs/>
          <w:sz w:val="28"/>
          <w:szCs w:val="28"/>
          <w:highlight w:val="none"/>
        </w:rPr>
      </w:pPr>
      <w:bookmarkStart w:id="1" w:name="_GoBack"/>
      <w:bookmarkEnd w:id="1"/>
    </w:p>
    <w:p>
      <w:pPr>
        <w:spacing w:line="276" w:lineRule="auto"/>
        <w:jc w:val="both"/>
        <w:rPr>
          <w:rFonts w:asciiTheme="minorHAnsi" w:hAnsiTheme="minorHAnsi" w:cstheme="minorHAnsi"/>
          <w:b/>
          <w:bCs/>
          <w:color w:val="0070C0"/>
          <w:sz w:val="28"/>
          <w:szCs w:val="28"/>
          <w:highlight w:val="none"/>
        </w:rPr>
      </w:pPr>
      <w:r>
        <w:rPr>
          <w:rFonts w:asciiTheme="minorHAnsi" w:hAnsiTheme="minorHAnsi" w:cstheme="minorHAnsi"/>
          <w:b/>
          <w:bCs/>
          <w:color w:val="0070C0"/>
          <w:sz w:val="28"/>
          <w:szCs w:val="28"/>
          <w:highlight w:val="none"/>
        </w:rPr>
        <w:t>Certifikát environmentálního vyúčtování vyčísluje přínos</w:t>
      </w:r>
      <w:r>
        <w:rPr>
          <w:rFonts w:hint="default" w:asciiTheme="minorHAnsi" w:hAnsiTheme="minorHAnsi" w:cstheme="minorHAnsi"/>
          <w:b/>
          <w:bCs/>
          <w:color w:val="0070C0"/>
          <w:sz w:val="28"/>
          <w:szCs w:val="28"/>
          <w:highlight w:val="none"/>
          <w:lang w:val="cs-CZ"/>
        </w:rPr>
        <w:t xml:space="preserve"> </w:t>
      </w:r>
      <w:r>
        <w:rPr>
          <w:rFonts w:asciiTheme="minorHAnsi" w:hAnsiTheme="minorHAnsi" w:cstheme="minorHAnsi"/>
          <w:b/>
          <w:bCs/>
          <w:color w:val="0070C0"/>
          <w:sz w:val="28"/>
          <w:szCs w:val="28"/>
          <w:highlight w:val="none"/>
        </w:rPr>
        <w:t>obce</w:t>
      </w:r>
      <w:r>
        <w:rPr>
          <w:rFonts w:hint="default" w:asciiTheme="minorHAnsi" w:hAnsiTheme="minorHAnsi" w:cstheme="minorHAnsi"/>
          <w:b/>
          <w:bCs/>
          <w:color w:val="0070C0"/>
          <w:sz w:val="28"/>
          <w:szCs w:val="28"/>
          <w:highlight w:val="none"/>
          <w:lang w:val="cs-CZ"/>
        </w:rPr>
        <w:t xml:space="preserve"> Březnice</w:t>
      </w:r>
      <w:r>
        <w:rPr>
          <w:rFonts w:asciiTheme="minorHAnsi" w:hAnsiTheme="minorHAnsi" w:cstheme="minorHAnsi"/>
          <w:b/>
          <w:bCs/>
          <w:color w:val="0070C0"/>
          <w:sz w:val="28"/>
          <w:szCs w:val="28"/>
          <w:highlight w:val="none"/>
        </w:rPr>
        <w:t xml:space="preserve"> k ochraně přírody v roce 2022. Vyplývá z něj, že díky množství námi odevzdaných elektrozařízení jsme uspořili </w:t>
      </w:r>
    </w:p>
    <w:p>
      <w:pPr>
        <w:spacing w:line="276" w:lineRule="auto"/>
        <w:jc w:val="both"/>
        <w:rPr>
          <w:rFonts w:asciiTheme="minorHAnsi" w:hAnsiTheme="minorHAnsi" w:cstheme="minorHAnsi"/>
          <w:b/>
          <w:bCs/>
          <w:color w:val="0070C0"/>
          <w:sz w:val="28"/>
          <w:szCs w:val="28"/>
          <w:highlight w:val="none"/>
        </w:rPr>
      </w:pPr>
      <w:r>
        <w:rPr>
          <w:rFonts w:hint="default" w:asciiTheme="minorHAnsi" w:hAnsiTheme="minorHAnsi" w:cstheme="minorHAnsi"/>
          <w:b/>
          <w:bCs/>
          <w:i/>
          <w:iCs/>
          <w:color w:val="0070C0"/>
          <w:sz w:val="28"/>
          <w:szCs w:val="28"/>
          <w:highlight w:val="none"/>
          <w:lang w:val="cs-CZ"/>
        </w:rPr>
        <w:t>39,26</w:t>
      </w:r>
      <w:r>
        <w:rPr>
          <w:rFonts w:asciiTheme="minorHAnsi" w:hAnsiTheme="minorHAnsi" w:cstheme="minorHAnsi"/>
          <w:b/>
          <w:bCs/>
          <w:color w:val="0070C0"/>
          <w:sz w:val="28"/>
          <w:szCs w:val="28"/>
          <w:highlight w:val="none"/>
        </w:rPr>
        <w:t xml:space="preserve"> MWh elektřiny, </w:t>
      </w:r>
    </w:p>
    <w:p>
      <w:pPr>
        <w:spacing w:line="276" w:lineRule="auto"/>
        <w:jc w:val="both"/>
        <w:rPr>
          <w:rFonts w:asciiTheme="minorHAnsi" w:hAnsiTheme="minorHAnsi" w:cstheme="minorHAnsi"/>
          <w:b/>
          <w:bCs/>
          <w:color w:val="0070C0"/>
          <w:sz w:val="28"/>
          <w:szCs w:val="28"/>
          <w:highlight w:val="none"/>
        </w:rPr>
      </w:pPr>
      <w:r>
        <w:rPr>
          <w:rFonts w:hint="default" w:asciiTheme="minorHAnsi" w:hAnsiTheme="minorHAnsi" w:cstheme="minorHAnsi"/>
          <w:b/>
          <w:bCs/>
          <w:i/>
          <w:iCs/>
          <w:color w:val="0070C0"/>
          <w:sz w:val="28"/>
          <w:szCs w:val="28"/>
          <w:highlight w:val="none"/>
          <w:lang w:val="cs-CZ"/>
        </w:rPr>
        <w:t>3.533</w:t>
      </w:r>
      <w:r>
        <w:rPr>
          <w:rFonts w:asciiTheme="minorHAnsi" w:hAnsiTheme="minorHAnsi" w:cstheme="minorHAnsi"/>
          <w:b/>
          <w:bCs/>
          <w:color w:val="0070C0"/>
          <w:sz w:val="28"/>
          <w:szCs w:val="28"/>
          <w:highlight w:val="none"/>
        </w:rPr>
        <w:t xml:space="preserve"> litrů ropy, </w:t>
      </w:r>
    </w:p>
    <w:p>
      <w:pPr>
        <w:spacing w:line="276" w:lineRule="auto"/>
        <w:jc w:val="both"/>
        <w:rPr>
          <w:rFonts w:asciiTheme="minorHAnsi" w:hAnsiTheme="minorHAnsi" w:cstheme="minorHAnsi"/>
          <w:b/>
          <w:bCs/>
          <w:color w:val="0070C0"/>
          <w:sz w:val="28"/>
          <w:szCs w:val="28"/>
          <w:highlight w:val="none"/>
        </w:rPr>
      </w:pPr>
      <w:r>
        <w:rPr>
          <w:rFonts w:hint="default" w:asciiTheme="minorHAnsi" w:hAnsiTheme="minorHAnsi" w:cstheme="minorHAnsi"/>
          <w:b/>
          <w:bCs/>
          <w:i/>
          <w:iCs/>
          <w:color w:val="0070C0"/>
          <w:sz w:val="28"/>
          <w:szCs w:val="28"/>
          <w:highlight w:val="none"/>
          <w:lang w:val="cs-CZ"/>
        </w:rPr>
        <w:t>455</w:t>
      </w:r>
      <w:r>
        <w:rPr>
          <w:rFonts w:asciiTheme="minorHAnsi" w:hAnsiTheme="minorHAnsi" w:cstheme="minorHAnsi"/>
          <w:b/>
          <w:bCs/>
          <w:color w:val="0070C0"/>
          <w:sz w:val="28"/>
          <w:szCs w:val="28"/>
          <w:highlight w:val="none"/>
        </w:rPr>
        <w:t xml:space="preserve"> m</w:t>
      </w:r>
      <w:r>
        <w:rPr>
          <w:rFonts w:asciiTheme="minorHAnsi" w:hAnsiTheme="minorHAnsi" w:cstheme="minorHAnsi"/>
          <w:b/>
          <w:bCs/>
          <w:color w:val="0070C0"/>
          <w:sz w:val="28"/>
          <w:szCs w:val="28"/>
          <w:highlight w:val="none"/>
          <w:vertAlign w:val="superscript"/>
        </w:rPr>
        <w:t>3</w:t>
      </w:r>
      <w:r>
        <w:rPr>
          <w:rFonts w:asciiTheme="minorHAnsi" w:hAnsiTheme="minorHAnsi" w:cstheme="minorHAnsi"/>
          <w:b/>
          <w:bCs/>
          <w:color w:val="0070C0"/>
          <w:sz w:val="28"/>
          <w:szCs w:val="28"/>
          <w:highlight w:val="none"/>
        </w:rPr>
        <w:t xml:space="preserve"> vody </w:t>
      </w:r>
    </w:p>
    <w:p>
      <w:pPr>
        <w:spacing w:line="276" w:lineRule="auto"/>
        <w:jc w:val="both"/>
        <w:rPr>
          <w:rFonts w:asciiTheme="minorHAnsi" w:hAnsiTheme="minorHAnsi" w:cstheme="minorHAnsi"/>
          <w:b/>
          <w:bCs/>
          <w:color w:val="0070C0"/>
          <w:sz w:val="28"/>
          <w:szCs w:val="28"/>
          <w:highlight w:val="none"/>
        </w:rPr>
      </w:pPr>
      <w:r>
        <w:rPr>
          <w:rFonts w:hint="default" w:asciiTheme="minorHAnsi" w:hAnsiTheme="minorHAnsi" w:cstheme="minorHAnsi"/>
          <w:b/>
          <w:bCs/>
          <w:i/>
          <w:iCs/>
          <w:color w:val="0070C0"/>
          <w:sz w:val="28"/>
          <w:szCs w:val="28"/>
          <w:highlight w:val="none"/>
          <w:lang w:val="cs-CZ"/>
        </w:rPr>
        <w:t>6,82</w:t>
      </w:r>
      <w:r>
        <w:rPr>
          <w:rFonts w:asciiTheme="minorHAnsi" w:hAnsiTheme="minorHAnsi" w:cstheme="minorHAnsi"/>
          <w:b/>
          <w:bCs/>
          <w:color w:val="0070C0"/>
          <w:sz w:val="28"/>
          <w:szCs w:val="28"/>
          <w:highlight w:val="none"/>
        </w:rPr>
        <w:t xml:space="preserve"> tun primárních surovin. </w:t>
      </w:r>
    </w:p>
    <w:p>
      <w:pPr>
        <w:spacing w:line="276" w:lineRule="auto"/>
        <w:jc w:val="both"/>
        <w:rPr>
          <w:rFonts w:asciiTheme="minorHAnsi" w:hAnsiTheme="minorHAnsi" w:cstheme="minorHAnsi"/>
          <w:b/>
          <w:bCs/>
          <w:color w:val="0070C0"/>
          <w:sz w:val="28"/>
          <w:szCs w:val="28"/>
          <w:highlight w:val="none"/>
        </w:rPr>
      </w:pPr>
      <w:r>
        <w:rPr>
          <w:rFonts w:asciiTheme="minorHAnsi" w:hAnsiTheme="minorHAnsi" w:cstheme="minorHAnsi"/>
          <w:b/>
          <w:bCs/>
          <w:color w:val="0070C0"/>
          <w:sz w:val="28"/>
          <w:szCs w:val="28"/>
          <w:highlight w:val="none"/>
        </w:rPr>
        <w:t>Navíc jsme snížili emise skleníkových plynů CO</w:t>
      </w:r>
      <w:r>
        <w:rPr>
          <w:rFonts w:asciiTheme="minorHAnsi" w:hAnsiTheme="minorHAnsi" w:cstheme="minorHAnsi"/>
          <w:b/>
          <w:bCs/>
          <w:color w:val="0070C0"/>
          <w:sz w:val="28"/>
          <w:szCs w:val="28"/>
          <w:highlight w:val="none"/>
          <w:vertAlign w:val="subscript"/>
        </w:rPr>
        <w:t>2</w:t>
      </w:r>
      <w:r>
        <w:rPr>
          <w:rFonts w:asciiTheme="minorHAnsi" w:hAnsiTheme="minorHAnsi" w:cstheme="minorHAnsi"/>
          <w:b/>
          <w:bCs/>
          <w:color w:val="0070C0"/>
          <w:sz w:val="28"/>
          <w:szCs w:val="28"/>
          <w:highlight w:val="none"/>
        </w:rPr>
        <w:t xml:space="preserve"> ekv. o </w:t>
      </w:r>
      <w:r>
        <w:rPr>
          <w:rFonts w:hint="default" w:asciiTheme="minorHAnsi" w:hAnsiTheme="minorHAnsi" w:cstheme="minorHAnsi"/>
          <w:b/>
          <w:bCs/>
          <w:i/>
          <w:iCs/>
          <w:color w:val="0070C0"/>
          <w:sz w:val="28"/>
          <w:szCs w:val="28"/>
          <w:highlight w:val="none"/>
          <w:lang w:val="cs-CZ"/>
        </w:rPr>
        <w:t>55,16</w:t>
      </w:r>
      <w:r>
        <w:rPr>
          <w:rFonts w:asciiTheme="minorHAnsi" w:hAnsiTheme="minorHAnsi" w:cstheme="minorHAnsi"/>
          <w:b/>
          <w:bCs/>
          <w:color w:val="0070C0"/>
          <w:sz w:val="28"/>
          <w:szCs w:val="28"/>
          <w:highlight w:val="none"/>
        </w:rPr>
        <w:t xml:space="preserve"> tun, a produkci SO2 ekv. (který zapříčiňuje okyselování prostředí)</w:t>
      </w:r>
      <w:r>
        <w:rPr>
          <w:rFonts w:asciiTheme="minorHAnsi" w:hAnsiTheme="minorHAnsi" w:cstheme="minorHAnsi"/>
          <w:b/>
          <w:bCs/>
          <w:i/>
          <w:iCs/>
          <w:color w:val="0070C0"/>
          <w:sz w:val="28"/>
          <w:szCs w:val="28"/>
          <w:highlight w:val="none"/>
        </w:rPr>
        <w:t xml:space="preserve"> o </w:t>
      </w:r>
      <w:r>
        <w:rPr>
          <w:rFonts w:hint="default" w:asciiTheme="minorHAnsi" w:hAnsiTheme="minorHAnsi" w:cstheme="minorHAnsi"/>
          <w:b/>
          <w:bCs/>
          <w:i/>
          <w:iCs/>
          <w:color w:val="0070C0"/>
          <w:sz w:val="28"/>
          <w:szCs w:val="28"/>
          <w:highlight w:val="none"/>
          <w:lang w:val="cs-CZ"/>
        </w:rPr>
        <w:t>555,96</w:t>
      </w:r>
      <w:r>
        <w:rPr>
          <w:rFonts w:asciiTheme="minorHAnsi" w:hAnsiTheme="minorHAnsi" w:cstheme="minorHAnsi"/>
          <w:b/>
          <w:bCs/>
          <w:color w:val="0070C0"/>
          <w:sz w:val="28"/>
          <w:szCs w:val="28"/>
          <w:highlight w:val="none"/>
        </w:rPr>
        <w:t xml:space="preserve"> kg.</w:t>
      </w:r>
    </w:p>
    <w:p>
      <w:pPr>
        <w:spacing w:line="276" w:lineRule="auto"/>
        <w:jc w:val="both"/>
        <w:rPr>
          <w:rFonts w:asciiTheme="minorHAnsi" w:hAnsiTheme="minorHAnsi" w:cstheme="minorHAnsi"/>
          <w:sz w:val="22"/>
          <w:szCs w:val="22"/>
          <w:highlight w:val="none"/>
        </w:rPr>
      </w:pPr>
    </w:p>
    <w:p>
      <w:pPr>
        <w:spacing w:line="276" w:lineRule="auto"/>
        <w:jc w:val="both"/>
        <w:rPr>
          <w:rFonts w:asciiTheme="minorHAnsi" w:hAnsiTheme="minorHAnsi" w:cstheme="minorHAnsi"/>
          <w:sz w:val="28"/>
          <w:szCs w:val="28"/>
          <w:highlight w:val="none"/>
        </w:rPr>
      </w:pPr>
      <w:r>
        <w:rPr>
          <w:rFonts w:asciiTheme="minorHAnsi" w:hAnsiTheme="minorHAnsi" w:cstheme="minorHAnsi"/>
          <w:sz w:val="28"/>
          <w:szCs w:val="28"/>
          <w:highlight w:val="none"/>
        </w:rPr>
        <w:t>Každý kus vytříděného elektra se počítá, což dokazuje příklad 100 vytříděných notebooků, které uspoří 10 MWh elektřiny. Takové množství odpovídá 3leté spotřebě elektřiny rodiny žijící ve standardním bytu. Za 100 kg vytříděných elektrospotřebičů se ušetří takové množství ropy, které by stačilo na výrobu benzínu pro cestu z Prahy do Paříže. Děkujeme všem, kteří pečlivě třídí odpad a přispívají tak k ochraně životního prostředí.</w:t>
      </w:r>
    </w:p>
    <w:p>
      <w:pPr>
        <w:spacing w:line="276" w:lineRule="auto"/>
        <w:jc w:val="both"/>
        <w:rPr>
          <w:rFonts w:asciiTheme="minorHAnsi" w:hAnsiTheme="minorHAnsi" w:cstheme="minorHAnsi"/>
          <w:sz w:val="22"/>
          <w:szCs w:val="22"/>
          <w:highlight w:val="none"/>
        </w:rPr>
      </w:pPr>
    </w:p>
    <w:p>
      <w:pPr>
        <w:spacing w:line="276" w:lineRule="auto"/>
        <w:jc w:val="both"/>
        <w:rPr>
          <w:rFonts w:asciiTheme="minorHAnsi" w:hAnsiTheme="minorHAnsi" w:cstheme="minorHAnsi"/>
          <w:sz w:val="22"/>
          <w:szCs w:val="22"/>
        </w:rPr>
      </w:pPr>
      <w:r>
        <w:rPr>
          <w:rFonts w:asciiTheme="minorHAnsi" w:hAnsiTheme="minorHAnsi" w:cstheme="minorHAnsi"/>
          <w:sz w:val="22"/>
          <w:szCs w:val="22"/>
          <w:highlight w:val="none"/>
        </w:rPr>
        <w:t>*</w:t>
      </w:r>
      <w:r>
        <w:rPr>
          <w:rFonts w:asciiTheme="minorHAnsi" w:hAnsiTheme="minorHAnsi" w:cstheme="minorHAnsi"/>
          <w:i/>
          <w:iCs/>
          <w:sz w:val="22"/>
          <w:szCs w:val="22"/>
          <w:highlight w:val="none"/>
        </w:rPr>
        <w:t xml:space="preserve">Environmentální vyúčtování je vypočítáváno pomocí studie životního cyklu výrobku (tzv. LCA – Life Cycle Assessment), která vypovídá o dopadech výroby a recyklace jednotlivých elektrozařízení na životní prostředí. Studie zohledňuje všech 6 skupin elektrospotřebičů, jejichž zpětný odběr kolektivní </w:t>
      </w:r>
      <w:r>
        <w:rPr>
          <w:rFonts w:asciiTheme="minorHAnsi" w:hAnsiTheme="minorHAnsi" w:cstheme="minorHAnsi"/>
          <w:i/>
          <w:iCs/>
          <w:sz w:val="22"/>
          <w:szCs w:val="22"/>
        </w:rPr>
        <w:t>systém ASEKOL zajišťuje.</w:t>
      </w:r>
    </w:p>
    <w:p>
      <w:pPr>
        <w:spacing w:line="276" w:lineRule="auto"/>
        <w:rPr>
          <w:rFonts w:asciiTheme="minorHAnsi" w:hAnsiTheme="minorHAnsi" w:cstheme="minorHAnsi"/>
          <w:sz w:val="22"/>
          <w:szCs w:val="22"/>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EE"/>
    <w:family w:val="swiss"/>
    <w:pitch w:val="default"/>
    <w:sig w:usb0="E0002EFF" w:usb1="C000785B" w:usb2="00000009" w:usb3="00000000" w:csb0="400001FF" w:csb1="FFFF0000"/>
  </w:font>
  <w:font w:name="Segoe UI">
    <w:panose1 w:val="020B0502040204020203"/>
    <w:charset w:val="EE"/>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49"/>
    <w:rsid w:val="000E0AF4"/>
    <w:rsid w:val="000F4178"/>
    <w:rsid w:val="001457B2"/>
    <w:rsid w:val="001A54D2"/>
    <w:rsid w:val="00231BEB"/>
    <w:rsid w:val="002A2622"/>
    <w:rsid w:val="003241F5"/>
    <w:rsid w:val="003470E7"/>
    <w:rsid w:val="00363007"/>
    <w:rsid w:val="00393F80"/>
    <w:rsid w:val="003C3928"/>
    <w:rsid w:val="00415D78"/>
    <w:rsid w:val="004327D3"/>
    <w:rsid w:val="0044330D"/>
    <w:rsid w:val="00467141"/>
    <w:rsid w:val="00486459"/>
    <w:rsid w:val="0049108C"/>
    <w:rsid w:val="004D3F5A"/>
    <w:rsid w:val="0053594F"/>
    <w:rsid w:val="00564626"/>
    <w:rsid w:val="006A1508"/>
    <w:rsid w:val="00705A1A"/>
    <w:rsid w:val="00707D55"/>
    <w:rsid w:val="00721037"/>
    <w:rsid w:val="0072637E"/>
    <w:rsid w:val="007531B8"/>
    <w:rsid w:val="007A0915"/>
    <w:rsid w:val="00852635"/>
    <w:rsid w:val="00884903"/>
    <w:rsid w:val="0090089B"/>
    <w:rsid w:val="00914033"/>
    <w:rsid w:val="0094401C"/>
    <w:rsid w:val="00A44E22"/>
    <w:rsid w:val="00AC5949"/>
    <w:rsid w:val="00AD0EB4"/>
    <w:rsid w:val="00B04D81"/>
    <w:rsid w:val="00B83FEB"/>
    <w:rsid w:val="00BA7174"/>
    <w:rsid w:val="00BB764A"/>
    <w:rsid w:val="00BD124E"/>
    <w:rsid w:val="00C23E36"/>
    <w:rsid w:val="00CB49DB"/>
    <w:rsid w:val="00CD5385"/>
    <w:rsid w:val="00DD4DD7"/>
    <w:rsid w:val="00E06A6B"/>
    <w:rsid w:val="00E56EC2"/>
    <w:rsid w:val="00F958BA"/>
    <w:rsid w:val="00FA418B"/>
    <w:rsid w:val="00FD6FCA"/>
    <w:rsid w:val="6D5C101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0" w:line="240" w:lineRule="auto"/>
    </w:pPr>
    <w:rPr>
      <w:rFonts w:ascii="Times New Roman" w:hAnsi="Times New Roman" w:eastAsia="SimSun" w:cs="Mangal"/>
      <w:kern w:val="2"/>
      <w:sz w:val="24"/>
      <w:szCs w:val="24"/>
      <w:lang w:val="cs-CZ" w:eastAsia="hi-IN"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rFonts w:ascii="Segoe UI" w:hAnsi="Segoe UI"/>
      <w:sz w:val="18"/>
      <w:szCs w:val="16"/>
    </w:rPr>
  </w:style>
  <w:style w:type="paragraph" w:styleId="5">
    <w:name w:val="Body Text"/>
    <w:basedOn w:val="1"/>
    <w:link w:val="11"/>
    <w:qFormat/>
    <w:uiPriority w:val="0"/>
    <w:pPr>
      <w:spacing w:after="120"/>
    </w:pPr>
    <w:rPr>
      <w:kern w:val="1"/>
    </w:rPr>
  </w:style>
  <w:style w:type="character" w:styleId="6">
    <w:name w:val="annotation reference"/>
    <w:basedOn w:val="2"/>
    <w:semiHidden/>
    <w:unhideWhenUsed/>
    <w:qFormat/>
    <w:uiPriority w:val="99"/>
    <w:rPr>
      <w:sz w:val="16"/>
      <w:szCs w:val="16"/>
    </w:rPr>
  </w:style>
  <w:style w:type="paragraph" w:styleId="7">
    <w:name w:val="annotation text"/>
    <w:basedOn w:val="1"/>
    <w:link w:val="13"/>
    <w:semiHidden/>
    <w:unhideWhenUsed/>
    <w:qFormat/>
    <w:uiPriority w:val="99"/>
    <w:rPr>
      <w:sz w:val="20"/>
      <w:szCs w:val="18"/>
    </w:rPr>
  </w:style>
  <w:style w:type="paragraph" w:styleId="8">
    <w:name w:val="annotation subject"/>
    <w:basedOn w:val="7"/>
    <w:next w:val="7"/>
    <w:link w:val="14"/>
    <w:semiHidden/>
    <w:unhideWhenUsed/>
    <w:qFormat/>
    <w:uiPriority w:val="99"/>
    <w:rPr>
      <w:b/>
      <w:bCs/>
    </w:rPr>
  </w:style>
  <w:style w:type="paragraph" w:styleId="9">
    <w:name w:val="Title"/>
    <w:basedOn w:val="1"/>
    <w:link w:val="10"/>
    <w:qFormat/>
    <w:uiPriority w:val="0"/>
    <w:pPr>
      <w:widowControl/>
      <w:suppressAutoHyphens w:val="0"/>
      <w:jc w:val="center"/>
    </w:pPr>
    <w:rPr>
      <w:rFonts w:ascii="Arial" w:hAnsi="Arial" w:eastAsia="Times New Roman" w:cs="Arial"/>
      <w:b/>
      <w:bCs/>
      <w:kern w:val="0"/>
      <w:sz w:val="32"/>
      <w:lang w:eastAsia="cs-CZ" w:bidi="ar-SA"/>
    </w:rPr>
  </w:style>
  <w:style w:type="character" w:customStyle="1" w:styleId="10">
    <w:name w:val="Název Char"/>
    <w:basedOn w:val="2"/>
    <w:link w:val="9"/>
    <w:qFormat/>
    <w:uiPriority w:val="0"/>
    <w:rPr>
      <w:rFonts w:ascii="Arial" w:hAnsi="Arial" w:eastAsia="Times New Roman" w:cs="Arial"/>
      <w:b/>
      <w:bCs/>
      <w:sz w:val="32"/>
      <w:szCs w:val="24"/>
      <w:lang w:eastAsia="cs-CZ"/>
    </w:rPr>
  </w:style>
  <w:style w:type="character" w:customStyle="1" w:styleId="11">
    <w:name w:val="Základní text Char"/>
    <w:basedOn w:val="2"/>
    <w:link w:val="5"/>
    <w:qFormat/>
    <w:uiPriority w:val="0"/>
    <w:rPr>
      <w:rFonts w:ascii="Times New Roman" w:hAnsi="Times New Roman" w:eastAsia="SimSun" w:cs="Mangal"/>
      <w:kern w:val="1"/>
      <w:sz w:val="24"/>
      <w:szCs w:val="24"/>
      <w:lang w:eastAsia="hi-IN" w:bidi="hi-IN"/>
    </w:rPr>
  </w:style>
  <w:style w:type="character" w:customStyle="1" w:styleId="12">
    <w:name w:val="Text bubliny Char"/>
    <w:basedOn w:val="2"/>
    <w:link w:val="4"/>
    <w:semiHidden/>
    <w:uiPriority w:val="99"/>
    <w:rPr>
      <w:rFonts w:ascii="Segoe UI" w:hAnsi="Segoe UI" w:eastAsia="SimSun" w:cs="Mangal"/>
      <w:kern w:val="2"/>
      <w:sz w:val="18"/>
      <w:szCs w:val="16"/>
      <w:lang w:eastAsia="hi-IN" w:bidi="hi-IN"/>
    </w:rPr>
  </w:style>
  <w:style w:type="character" w:customStyle="1" w:styleId="13">
    <w:name w:val="Text komentáře Char"/>
    <w:basedOn w:val="2"/>
    <w:link w:val="7"/>
    <w:semiHidden/>
    <w:qFormat/>
    <w:uiPriority w:val="99"/>
    <w:rPr>
      <w:rFonts w:ascii="Times New Roman" w:hAnsi="Times New Roman" w:eastAsia="SimSun" w:cs="Mangal"/>
      <w:kern w:val="2"/>
      <w:sz w:val="20"/>
      <w:szCs w:val="18"/>
      <w:lang w:eastAsia="hi-IN" w:bidi="hi-IN"/>
    </w:rPr>
  </w:style>
  <w:style w:type="character" w:customStyle="1" w:styleId="14">
    <w:name w:val="Předmět komentáře Char"/>
    <w:basedOn w:val="13"/>
    <w:link w:val="8"/>
    <w:semiHidden/>
    <w:qFormat/>
    <w:uiPriority w:val="99"/>
    <w:rPr>
      <w:rFonts w:ascii="Times New Roman" w:hAnsi="Times New Roman" w:eastAsia="SimSun" w:cs="Mangal"/>
      <w:b/>
      <w:bCs/>
      <w:kern w:val="2"/>
      <w:sz w:val="20"/>
      <w:szCs w:val="18"/>
      <w:lang w:eastAsia="hi-I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349</Words>
  <Characters>2062</Characters>
  <Lines>17</Lines>
  <Paragraphs>4</Paragraphs>
  <TotalTime>24</TotalTime>
  <ScaleCrop>false</ScaleCrop>
  <LinksUpToDate>false</LinksUpToDate>
  <CharactersWithSpaces>2407</CharactersWithSpaces>
  <Application>WPS Office_11.2.0.11486_F1E327BC-269C-435d-A152-05C5408002CA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2023-02-02T13:40:00Z</dcterms:created>
  <dc:creator>Petra Němcová</dc:creator>
  <cp:lastModifiedBy>SB2020</cp:lastModifiedBy>
  <dcterms:modified xsi:type="dcterms:W3CDTF">2023-02-28T10:40:19Z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8bede-62ef-4e9c-8811-d36c1b1f7687_Enabled">
    <vt:lpwstr>True</vt:lpwstr>
  </property>
  <property fmtid="{D5CDD505-2E9C-101B-9397-08002B2CF9AE}" pid="3" name="MSIP_Label_bf08bede-62ef-4e9c-8811-d36c1b1f7687_SiteId">
    <vt:lpwstr>b26e564a-bd86-4cc5-9677-47dde4b23796</vt:lpwstr>
  </property>
  <property fmtid="{D5CDD505-2E9C-101B-9397-08002B2CF9AE}" pid="4" name="MSIP_Label_bf08bede-62ef-4e9c-8811-d36c1b1f7687_Owner">
    <vt:lpwstr>hejclova@ASEKOL.CZ</vt:lpwstr>
  </property>
  <property fmtid="{D5CDD505-2E9C-101B-9397-08002B2CF9AE}" pid="5" name="MSIP_Label_bf08bede-62ef-4e9c-8811-d36c1b1f7687_SetDate">
    <vt:lpwstr>2020-06-22T13:31:17.4849594Z</vt:lpwstr>
  </property>
  <property fmtid="{D5CDD505-2E9C-101B-9397-08002B2CF9AE}" pid="6" name="MSIP_Label_bf08bede-62ef-4e9c-8811-d36c1b1f7687_Name">
    <vt:lpwstr>Public</vt:lpwstr>
  </property>
  <property fmtid="{D5CDD505-2E9C-101B-9397-08002B2CF9AE}" pid="7" name="MSIP_Label_bf08bede-62ef-4e9c-8811-d36c1b1f7687_Application">
    <vt:lpwstr>Microsoft Azure Information Protection</vt:lpwstr>
  </property>
  <property fmtid="{D5CDD505-2E9C-101B-9397-08002B2CF9AE}" pid="8" name="MSIP_Label_bf08bede-62ef-4e9c-8811-d36c1b1f7687_ActionId">
    <vt:lpwstr>68dbd5fe-f653-4d78-816c-9827656b57af</vt:lpwstr>
  </property>
  <property fmtid="{D5CDD505-2E9C-101B-9397-08002B2CF9AE}" pid="9" name="MSIP_Label_bf08bede-62ef-4e9c-8811-d36c1b1f7687_Extended_MSFT_Method">
    <vt:lpwstr>Automatic</vt:lpwstr>
  </property>
  <property fmtid="{D5CDD505-2E9C-101B-9397-08002B2CF9AE}" pid="10" name="Sensitivity">
    <vt:lpwstr>Public</vt:lpwstr>
  </property>
  <property fmtid="{D5CDD505-2E9C-101B-9397-08002B2CF9AE}" pid="11" name="KSOProductBuildVer">
    <vt:lpwstr>1033-11.2.0.11486</vt:lpwstr>
  </property>
  <property fmtid="{D5CDD505-2E9C-101B-9397-08002B2CF9AE}" pid="12" name="ICV">
    <vt:lpwstr>045E46A0A44B422DAC4A096479D652F9</vt:lpwstr>
  </property>
</Properties>
</file>